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4EE" w:rsidRDefault="00017F0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Times New Roman" w:hAnsi="Arial" w:cs="Arial"/>
          <w:b/>
          <w:sz w:val="22"/>
          <w:szCs w:val="22"/>
          <w:lang w:val="en-US"/>
        </w:rPr>
      </w:pPr>
      <w:bookmarkStart w:id="0" w:name="_Hlk145670493"/>
      <w:bookmarkStart w:id="1" w:name="_Ref494746248"/>
      <w:r>
        <w:rPr>
          <w:rFonts w:ascii="Arial" w:eastAsia="Times New Roman" w:hAnsi="Arial" w:cs="Arial"/>
          <w:b/>
          <w:sz w:val="22"/>
          <w:szCs w:val="22"/>
        </w:rPr>
        <w:t>3GPP TSG RAN WG1 #115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R1-231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1025</w:t>
      </w:r>
    </w:p>
    <w:p w:rsidR="00E304EE" w:rsidRDefault="00017F00">
      <w:pPr>
        <w:pStyle w:val="af1"/>
        <w:spacing w:beforeLines="25" w:before="60" w:afterLines="25" w:after="60"/>
        <w:rPr>
          <w:rFonts w:ascii="Arial" w:eastAsia="Times New Roman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lang w:eastAsia="zh-CN"/>
        </w:rPr>
        <w:t>Chicago, USA, November 13</w:t>
      </w:r>
      <w:r>
        <w:rPr>
          <w:rFonts w:ascii="Arial" w:eastAsia="Times New Roman" w:hAnsi="Arial" w:cs="Arial" w:hint="eastAsia"/>
          <w:b/>
          <w:sz w:val="22"/>
          <w:szCs w:val="22"/>
          <w:lang w:eastAsia="zh-CN"/>
        </w:rPr>
        <w:t>th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– November 17th, 2023</w:t>
      </w:r>
    </w:p>
    <w:bookmarkEnd w:id="0"/>
    <w:p w:rsidR="00E304EE" w:rsidRDefault="00E304EE">
      <w:pPr>
        <w:pStyle w:val="af1"/>
      </w:pPr>
    </w:p>
    <w:p w:rsidR="00E304EE" w:rsidRDefault="00017F00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>:  Maintenance of Multi-carrier UL Tx switching scheme</w:t>
      </w:r>
    </w:p>
    <w:p w:rsidR="00E304EE" w:rsidRDefault="00017F00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</w:p>
    <w:p w:rsidR="00E304EE" w:rsidRDefault="00017F00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>:  8.12.2</w:t>
      </w:r>
    </w:p>
    <w:p w:rsidR="00E304EE" w:rsidRDefault="00017F00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:  Discussion/Decision</w:t>
      </w:r>
    </w:p>
    <w:p w:rsidR="00E304EE" w:rsidRDefault="00017F00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1"/>
      <w:bookmarkEnd w:id="3"/>
    </w:p>
    <w:p w:rsidR="00E304EE" w:rsidRDefault="00017F00">
      <w:pPr>
        <w:rPr>
          <w:lang w:eastAsia="zh-CN"/>
        </w:rPr>
      </w:pPr>
      <w:r>
        <w:rPr>
          <w:lang w:eastAsia="zh-CN"/>
        </w:rPr>
        <w:t xml:space="preserve">The draft CR for Rel-18 UL Tx switching was approved in [1]. In this meeting, we provide our analysis and TP on top of the previously approved </w:t>
      </w:r>
      <w:r>
        <w:rPr>
          <w:rFonts w:hint="eastAsia"/>
          <w:lang w:eastAsia="zh-CN"/>
        </w:rPr>
        <w:t>CR</w:t>
      </w:r>
      <w:r>
        <w:rPr>
          <w:lang w:eastAsia="zh-CN"/>
        </w:rPr>
        <w:t>.</w:t>
      </w:r>
    </w:p>
    <w:p w:rsidR="00E304EE" w:rsidRDefault="00E304EE">
      <w:pPr>
        <w:rPr>
          <w:lang w:eastAsia="zh-CN"/>
        </w:rPr>
      </w:pPr>
    </w:p>
    <w:p w:rsidR="00E304EE" w:rsidRDefault="00017F00">
      <w:pPr>
        <w:pStyle w:val="1"/>
        <w:pBdr>
          <w:top w:val="single" w:sz="12" w:space="0" w:color="auto"/>
        </w:pBdr>
      </w:pPr>
      <w:r>
        <w:t>Discussion</w:t>
      </w:r>
    </w:p>
    <w:p w:rsidR="00E304EE" w:rsidRDefault="00017F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RAN1#114bis meeting, RAN1 agreed that conditions for triggering switching is in TS38.214, and </w:t>
      </w:r>
      <w:r>
        <w:rPr>
          <w:lang w:eastAsia="zh-CN"/>
        </w:rPr>
        <w:t xml:space="preserve">the length determination of switching period should be in TS38.101-1.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4EE">
        <w:tc>
          <w:tcPr>
            <w:tcW w:w="9629" w:type="dxa"/>
          </w:tcPr>
          <w:p w:rsidR="00E304EE" w:rsidRDefault="00017F00">
            <w:pPr>
              <w:spacing w:before="0" w:line="240" w:lineRule="auto"/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:rsidR="00E304EE" w:rsidRDefault="00017F00">
            <w:pPr>
              <w:pStyle w:val="aff5"/>
              <w:spacing w:before="0" w:line="240" w:lineRule="auto"/>
              <w:ind w:left="0"/>
              <w:rPr>
                <w:rFonts w:eastAsia="MS Mincho"/>
              </w:rPr>
            </w:pPr>
            <w:r>
              <w:rPr>
                <w:rFonts w:eastAsia="MS Mincho"/>
              </w:rPr>
              <w:t>For the TS38.214, conditions for triggering switch and descriptions on determination of the length of switching period for different switching cases with dual uplink with more</w:t>
            </w:r>
            <w:r>
              <w:rPr>
                <w:rFonts w:eastAsia="MS Mincho"/>
              </w:rPr>
              <w:t xml:space="preserve"> than two bands involved in one uplink TX switching,</w:t>
            </w:r>
          </w:p>
          <w:p w:rsidR="00E304EE" w:rsidRDefault="00017F00">
            <w:pPr>
              <w:pStyle w:val="aff5"/>
              <w:numPr>
                <w:ilvl w:val="1"/>
                <w:numId w:val="14"/>
              </w:numPr>
              <w:snapToGrid/>
              <w:spacing w:before="0" w:after="0" w:line="240" w:lineRule="auto"/>
              <w:rPr>
                <w:rFonts w:eastAsia="MS Mincho"/>
              </w:rPr>
            </w:pPr>
            <w:r>
              <w:rPr>
                <w:rFonts w:eastAsia="MS Mincho" w:hint="eastAsia"/>
              </w:rPr>
              <w:t>A</w:t>
            </w:r>
            <w:r>
              <w:rPr>
                <w:rFonts w:eastAsia="MS Mincho"/>
              </w:rPr>
              <w:t>lt.3: it is kept in both TS38.214 and TS38.101-1 (TS38.214 refers TS38.101-1 and vice versa)</w:t>
            </w:r>
          </w:p>
          <w:p w:rsidR="00E304EE" w:rsidRDefault="00017F00">
            <w:pPr>
              <w:pStyle w:val="aff5"/>
              <w:numPr>
                <w:ilvl w:val="2"/>
                <w:numId w:val="14"/>
              </w:numPr>
              <w:snapToGrid/>
              <w:spacing w:before="0"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From RAN1 point of view, conditions for triggering switching is in TS38.214, and the length determination of </w:t>
            </w:r>
            <w:r>
              <w:rPr>
                <w:rFonts w:eastAsia="MS Mincho"/>
              </w:rPr>
              <w:t>switching period should be in TS38.101-1</w:t>
            </w:r>
          </w:p>
          <w:p w:rsidR="00E304EE" w:rsidRDefault="00017F00">
            <w:pPr>
              <w:pStyle w:val="aff5"/>
              <w:numPr>
                <w:ilvl w:val="2"/>
                <w:numId w:val="14"/>
              </w:numPr>
              <w:snapToGrid/>
              <w:spacing w:before="0" w:after="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 xml:space="preserve">Send </w:t>
            </w:r>
            <w:proofErr w:type="gramStart"/>
            <w:r>
              <w:rPr>
                <w:rFonts w:eastAsia="MS Mincho"/>
              </w:rPr>
              <w:t>an</w:t>
            </w:r>
            <w:proofErr w:type="gramEnd"/>
            <w:r>
              <w:rPr>
                <w:rFonts w:eastAsia="MS Mincho"/>
              </w:rPr>
              <w:t xml:space="preserve"> LS to RAN4 to reflect the above in their specification. LS is </w:t>
            </w:r>
            <w:r>
              <w:rPr>
                <w:rFonts w:eastAsia="MS Mincho"/>
                <w:highlight w:val="green"/>
              </w:rPr>
              <w:t xml:space="preserve">endorsed </w:t>
            </w:r>
            <w:r>
              <w:rPr>
                <w:rFonts w:eastAsia="MS Mincho"/>
              </w:rPr>
              <w:t>in R1-2310584.</w:t>
            </w:r>
          </w:p>
          <w:p w:rsidR="00E304EE" w:rsidRDefault="00E304EE">
            <w:pPr>
              <w:spacing w:before="0" w:line="240" w:lineRule="auto"/>
              <w:rPr>
                <w:lang w:eastAsia="zh-CN"/>
              </w:rPr>
            </w:pPr>
          </w:p>
        </w:tc>
      </w:tr>
    </w:tbl>
    <w:p w:rsidR="00E304EE" w:rsidRDefault="00017F00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hus, the following update is made to reflect the above agreements.</w:t>
      </w:r>
    </w:p>
    <w:p w:rsidR="00E304EE" w:rsidRDefault="00017F00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i/>
          <w:lang w:eastAsia="zh-CN"/>
        </w:rPr>
        <w:t>: Adopt the following TP for Rel-18 UL Tx</w:t>
      </w:r>
      <w:r>
        <w:rPr>
          <w:i/>
          <w:lang w:eastAsia="zh-CN"/>
        </w:rPr>
        <w:t xml:space="preserve"> switching for TS38.214.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4EE">
        <w:tc>
          <w:tcPr>
            <w:tcW w:w="9629" w:type="dxa"/>
          </w:tcPr>
          <w:p w:rsidR="00E304EE" w:rsidRDefault="00017F00">
            <w:pPr>
              <w:spacing w:before="0" w:after="0" w:line="240" w:lineRule="auto"/>
            </w:pPr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proofErr w:type="spellStart"/>
            <w:r>
              <w:rPr>
                <w:i/>
              </w:rPr>
              <w:t>uplinkTxSwitching</w:t>
            </w:r>
            <w:proofErr w:type="spellEnd"/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>is indicated by UE capabili</w:t>
            </w:r>
            <w:r>
              <w:t xml:space="preserve">ty </w:t>
            </w:r>
            <w:r>
              <w:rPr>
                <w:i/>
                <w:iCs/>
              </w:rPr>
              <w:t>uplinkTxSwitchingPeriod2T2T</w:t>
            </w:r>
            <w:r>
              <w:t xml:space="preserve"> if </w:t>
            </w:r>
            <w:r>
              <w:rPr>
                <w:i/>
                <w:iCs/>
              </w:rPr>
              <w:t>uplinkTxSwitching-2T-Mode</w:t>
            </w:r>
            <w:r>
              <w:t xml:space="preserve"> is configured, and </w:t>
            </w:r>
            <w:proofErr w:type="spellStart"/>
            <w:r>
              <w:rPr>
                <w:i/>
              </w:rPr>
              <w:t>uplinkTxSwitchingPeriod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otherwise in clauses 6.1.6.1, 6.1.6.2.0, 6.1.6.3, and is</w:t>
            </w:r>
            <w:r>
              <w:rPr>
                <w:iCs/>
                <w:color w:val="FF0000"/>
                <w:u w:val="single"/>
              </w:rPr>
              <w:t xml:space="preserve"> defined in [8, TS 38.101-1]</w:t>
            </w:r>
            <w:r>
              <w:rPr>
                <w:rFonts w:hint="eastAsia"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Cs/>
                <w:color w:val="FF0000"/>
                <w:u w:val="single"/>
              </w:rPr>
              <w:t>for</w:t>
            </w:r>
            <w:r>
              <w:rPr>
                <w:rFonts w:hint="eastAsia"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Cs/>
                <w:strike/>
                <w:color w:val="FF0000"/>
              </w:rPr>
              <w:t xml:space="preserve">determined with UE capability </w:t>
            </w:r>
            <w:proofErr w:type="spellStart"/>
            <w:r>
              <w:rPr>
                <w:i/>
                <w:strike/>
                <w:color w:val="FF0000"/>
              </w:rPr>
              <w:t>uplinkTxSwitchingPeriodForBandPair</w:t>
            </w:r>
            <w:proofErr w:type="spellEnd"/>
            <w:r>
              <w:rPr>
                <w:iCs/>
                <w:strike/>
                <w:color w:val="FF0000"/>
              </w:rPr>
              <w:t xml:space="preserve"> in </w:t>
            </w:r>
            <w:r>
              <w:rPr>
                <w:iCs/>
              </w:rPr>
              <w:t>clause 6.1.6.2.2 for uplink switching with 3 or 4 uplink bands</w:t>
            </w:r>
            <w:r>
              <w:t xml:space="preserve">: </w:t>
            </w:r>
          </w:p>
          <w:p w:rsidR="00E304EE" w:rsidRDefault="00017F00">
            <w:pPr>
              <w:pStyle w:val="B1"/>
              <w:spacing w:before="0" w:after="0" w:line="240" w:lineRule="auto"/>
            </w:pPr>
            <w:r>
              <w:t>-</w:t>
            </w:r>
            <w:r>
              <w:tab/>
              <w:t xml:space="preserve">If a </w:t>
            </w:r>
            <w:r>
              <w:rPr>
                <w:lang w:val="en-AU"/>
              </w:rPr>
              <w:t>UE</w:t>
            </w:r>
            <w:r>
              <w:t xml:space="preserve"> indicated a capability for uplink switching with </w:t>
            </w:r>
            <w:proofErr w:type="spellStart"/>
            <w:r>
              <w:rPr>
                <w:i/>
                <w:iCs/>
              </w:rPr>
              <w:t>BandCombination-UplinkTxSwitch</w:t>
            </w:r>
            <w:proofErr w:type="spellEnd"/>
            <w:r>
              <w:t xml:space="preserve"> for a band combination, and if it is for that band combination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Configured with </w:t>
            </w:r>
            <w:proofErr w:type="gramStart"/>
            <w:r>
              <w:rPr>
                <w:lang w:eastAsia="fr-FR"/>
              </w:rPr>
              <w:t>a</w:t>
            </w:r>
            <w:proofErr w:type="gramEnd"/>
            <w:r>
              <w:rPr>
                <w:lang w:eastAsia="fr-FR"/>
              </w:rPr>
              <w:t xml:space="preserve"> MCG using E-UT</w:t>
            </w:r>
            <w:r>
              <w:rPr>
                <w:lang w:eastAsia="fr-FR"/>
              </w:rPr>
              <w:t>RA radio access and with a SCG using NR radio access (EN-DC)</w:t>
            </w:r>
            <w:r>
              <w:t>, or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>Configured with uplink carrier aggregation, or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Configured in a serving cell with two uplink carriers with </w:t>
            </w:r>
            <w:r>
              <w:rPr>
                <w:lang w:eastAsia="fr-FR"/>
              </w:rPr>
              <w:t xml:space="preserve">higher layer parameter </w:t>
            </w:r>
            <w:proofErr w:type="spellStart"/>
            <w:r>
              <w:rPr>
                <w:i/>
                <w:iCs/>
                <w:lang w:eastAsia="fr-FR"/>
              </w:rPr>
              <w:t>supplementaryUplink</w:t>
            </w:r>
            <w:proofErr w:type="spellEnd"/>
            <w:r>
              <w:t>.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The conditions under which the switch</w:t>
            </w:r>
            <w:r>
              <w:t>ing gap may be present are defined for each of the cases in clauses 6.1.6.1, 6.1.6.2, and 6.1.6.3 respectively.</w:t>
            </w:r>
          </w:p>
        </w:tc>
      </w:tr>
    </w:tbl>
    <w:p w:rsidR="00E304EE" w:rsidRDefault="00017F00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elow we summarize the latest situation of length determination of switching period based on the latest RAN1 and RAN4 agreements. Note that bas</w:t>
      </w:r>
      <w:r>
        <w:rPr>
          <w:lang w:eastAsia="zh-CN"/>
        </w:rPr>
        <w:t xml:space="preserve">ed on the latest LS </w:t>
      </w:r>
      <w:r>
        <w:rPr>
          <w:rFonts w:hint="eastAsia"/>
          <w:lang w:val="en-US" w:eastAsia="zh-CN"/>
        </w:rPr>
        <w:t>R1-2310805(</w:t>
      </w:r>
      <w:r>
        <w:rPr>
          <w:lang w:eastAsia="zh-CN"/>
        </w:rPr>
        <w:t>R4-2317610</w:t>
      </w:r>
      <w:r>
        <w:rPr>
          <w:rFonts w:hint="eastAsia"/>
          <w:lang w:val="en-US" w:eastAsia="zh-CN"/>
        </w:rPr>
        <w:t>)</w:t>
      </w:r>
      <w:r>
        <w:rPr>
          <w:lang w:eastAsia="zh-CN"/>
        </w:rPr>
        <w:t>, the previous conclusion made for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‘</w:t>
      </w:r>
      <w:r>
        <w:rPr>
          <w:lang w:eastAsia="zh-CN"/>
        </w:rPr>
        <w:t>the unaffected band case</w:t>
      </w:r>
      <w:r>
        <w:rPr>
          <w:lang w:val="en-US" w:eastAsia="zh-CN"/>
        </w:rPr>
        <w:t>’</w:t>
      </w:r>
      <w:r>
        <w:rPr>
          <w:lang w:eastAsia="zh-CN"/>
        </w:rPr>
        <w:t xml:space="preserve"> is revised.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E304EE">
        <w:tc>
          <w:tcPr>
            <w:tcW w:w="2547" w:type="dxa"/>
          </w:tcPr>
          <w:p w:rsidR="00E304EE" w:rsidRDefault="00017F00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witching case</w:t>
            </w:r>
          </w:p>
        </w:tc>
        <w:tc>
          <w:tcPr>
            <w:tcW w:w="7082" w:type="dxa"/>
          </w:tcPr>
          <w:p w:rsidR="00E304EE" w:rsidRDefault="00017F00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Length determination of switching period</w:t>
            </w:r>
          </w:p>
        </w:tc>
      </w:tr>
      <w:tr w:rsidR="00E304EE">
        <w:tc>
          <w:tcPr>
            <w:tcW w:w="2547" w:type="dxa"/>
          </w:tcPr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A+B 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C</w:t>
            </w:r>
          </w:p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A+B</w:t>
            </w:r>
          </w:p>
        </w:tc>
        <w:tc>
          <w:tcPr>
            <w:tcW w:w="7082" w:type="dxa"/>
          </w:tcPr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  <w:lang w:eastAsia="zh-CN"/>
              </w:rPr>
              <w:t>Default method:</w:t>
            </w:r>
          </w:p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switching period is </w:t>
            </w:r>
            <w:proofErr w:type="gramStart"/>
            <w:r>
              <w:rPr>
                <w:lang w:eastAsia="zh-CN"/>
              </w:rPr>
              <w:t>max{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oMath>
            <w:r>
              <w:rPr>
                <w:lang w:eastAsia="zh-CN"/>
              </w:rPr>
              <w:t>}</w:t>
            </w:r>
          </w:p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b/>
                <w:color w:val="FF0000"/>
                <w:lang w:eastAsia="zh-CN"/>
              </w:rPr>
              <w:t>O</w:t>
            </w:r>
            <w:r>
              <w:rPr>
                <w:b/>
                <w:color w:val="FF0000"/>
                <w:lang w:eastAsia="zh-CN"/>
              </w:rPr>
              <w:t>ption UE capability</w:t>
            </w:r>
            <w:r>
              <w:rPr>
                <w:lang w:eastAsia="zh-CN"/>
              </w:rPr>
              <w:t xml:space="preserve"> </w:t>
            </w:r>
            <w:r>
              <w:rPr>
                <w:b/>
                <w:color w:val="FF0000"/>
                <w:lang w:eastAsia="zh-CN"/>
              </w:rPr>
              <w:t>[uplinkTxSwitchingPeriod1T1Tto2T] per combination of switching-from bands and switching-to bands: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UE to report one value for each combination of switching-from bands and switching-to </w:t>
            </w:r>
            <w:r>
              <w:rPr>
                <w:lang w:eastAsia="zh-CN"/>
              </w:rPr>
              <w:t>bands, which applies to both A+B to C and C to A+B.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Candidate values are {35u, 140us, 210us}, no other values to be added.</w:t>
            </w:r>
          </w:p>
          <w:p w:rsidR="00E304EE" w:rsidRDefault="00E304EE">
            <w:pPr>
              <w:spacing w:after="0" w:line="240" w:lineRule="auto"/>
              <w:rPr>
                <w:lang w:eastAsia="zh-CN"/>
              </w:rPr>
            </w:pPr>
          </w:p>
        </w:tc>
      </w:tr>
      <w:tr w:rsidR="00E304EE">
        <w:tc>
          <w:tcPr>
            <w:tcW w:w="2547" w:type="dxa"/>
          </w:tcPr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A</w:t>
            </w:r>
            <w:r>
              <w:rPr>
                <w:lang w:eastAsia="zh-CN"/>
              </w:rPr>
              <w:t xml:space="preserve">+C 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B+C</w:t>
            </w:r>
          </w:p>
        </w:tc>
        <w:tc>
          <w:tcPr>
            <w:tcW w:w="7082" w:type="dxa"/>
          </w:tcPr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  <w:lang w:val="en-US" w:eastAsia="zh-CN"/>
              </w:rPr>
              <w:t xml:space="preserve">Band C is </w:t>
            </w:r>
            <w:r>
              <w:rPr>
                <w:rFonts w:hint="eastAsia"/>
                <w:b/>
                <w:color w:val="FF0000"/>
                <w:lang w:val="en-US" w:eastAsia="zh-CN"/>
              </w:rPr>
              <w:t>NOT</w:t>
            </w:r>
            <w:r>
              <w:rPr>
                <w:b/>
                <w:color w:val="FF0000"/>
                <w:lang w:val="en-US" w:eastAsia="zh-CN"/>
              </w:rPr>
              <w:t xml:space="preserve"> involved</w:t>
            </w:r>
            <w:r>
              <w:rPr>
                <w:rFonts w:hint="eastAsia"/>
                <w:b/>
                <w:color w:val="FF0000"/>
                <w:lang w:val="en-US" w:eastAsia="zh-CN"/>
              </w:rPr>
              <w:t xml:space="preserve"> in the UL Tx switching</w:t>
            </w:r>
            <w:r>
              <w:rPr>
                <w:b/>
                <w:color w:val="FF0000"/>
                <w:lang w:eastAsia="zh-CN"/>
              </w:rPr>
              <w:t>: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switching period is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bandpair A,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B</m:t>
                  </m:r>
                </m:sub>
              </m:sSub>
            </m:oMath>
            <w:r>
              <w:rPr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UE indicates the band </w:t>
            </w:r>
            <w:r>
              <w:rPr>
                <w:lang w:val="en-US" w:eastAsia="zh-CN"/>
              </w:rPr>
              <w:t>C</w:t>
            </w:r>
            <w:r>
              <w:rPr>
                <w:lang w:eastAsia="zh-CN"/>
              </w:rPr>
              <w:t xml:space="preserve"> as non-affected band with </w:t>
            </w:r>
            <w:r>
              <w:rPr>
                <w:rFonts w:eastAsiaTheme="minorEastAsia" w:cs="Arial"/>
                <w:i/>
              </w:rPr>
              <w:t>maintainedUL-Trans-r18</w:t>
            </w:r>
            <w:r>
              <w:rPr>
                <w:lang w:eastAsia="zh-CN"/>
              </w:rPr>
              <w:t xml:space="preserve"> for band pair [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, </w:t>
            </w:r>
            <w:r>
              <w:rPr>
                <w:lang w:val="en-US" w:eastAsia="zh-CN"/>
              </w:rPr>
              <w:t>B</w:t>
            </w:r>
            <w:r>
              <w:rPr>
                <w:lang w:eastAsia="zh-CN"/>
              </w:rPr>
              <w:t>]</w:t>
            </w:r>
            <w:r>
              <w:rPr>
                <w:lang w:val="en-US" w:eastAsia="zh-CN"/>
              </w:rPr>
              <w:t>.</w:t>
            </w:r>
          </w:p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  <w:lang w:val="en-US" w:eastAsia="zh-CN"/>
              </w:rPr>
              <w:t>Band C is involved</w:t>
            </w:r>
            <w:r>
              <w:rPr>
                <w:rFonts w:hint="eastAsia"/>
                <w:b/>
                <w:color w:val="FF0000"/>
                <w:lang w:val="en-US" w:eastAsia="zh-CN"/>
              </w:rPr>
              <w:t xml:space="preserve"> in the UL Tx switching</w:t>
            </w:r>
            <w:r>
              <w:rPr>
                <w:b/>
                <w:color w:val="FF0000"/>
                <w:lang w:eastAsia="zh-CN"/>
              </w:rPr>
              <w:t>: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switching period is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bandpair A,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B</m:t>
                  </m:r>
                </m:sub>
              </m:sSub>
            </m:oMath>
            <w:r>
              <w:rPr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UE does not indicate </w:t>
            </w:r>
            <w:r>
              <w:rPr>
                <w:rFonts w:eastAsiaTheme="minorEastAsia" w:cs="Arial"/>
                <w:i/>
              </w:rPr>
              <w:t>maintainedUL-Trans-r18</w:t>
            </w:r>
            <w:r>
              <w:rPr>
                <w:lang w:val="en-US" w:eastAsia="zh-CN"/>
              </w:rPr>
              <w:t>.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The switching period is indicated by UE capability </w:t>
            </w:r>
            <w:r>
              <w:rPr>
                <w:rFonts w:eastAsiaTheme="minorEastAsia" w:cs="Arial"/>
                <w:i/>
                <w:lang w:eastAsia="en-GB"/>
              </w:rPr>
              <w:t>Switch</w:t>
            </w:r>
            <w:r>
              <w:rPr>
                <w:rFonts w:eastAsiaTheme="minorEastAsia" w:cs="Arial"/>
                <w:i/>
                <w:lang w:eastAsia="en-GB"/>
              </w:rPr>
              <w:t>ingPeriodUnaffectedBandDualUL-r18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does not indicate </w:t>
            </w:r>
            <w:r>
              <w:rPr>
                <w:rFonts w:eastAsiaTheme="minorEastAsia" w:cs="Arial"/>
                <w:i/>
              </w:rPr>
              <w:t>maintainedUL-Trans-r18</w:t>
            </w:r>
            <w:r>
              <w:rPr>
                <w:lang w:val="en-US" w:eastAsia="zh-CN"/>
              </w:rPr>
              <w:t>.</w:t>
            </w:r>
          </w:p>
          <w:p w:rsidR="00E304EE" w:rsidRDefault="00E304EE">
            <w:pPr>
              <w:spacing w:after="0" w:line="240" w:lineRule="auto"/>
              <w:rPr>
                <w:lang w:eastAsia="zh-CN"/>
              </w:rPr>
            </w:pPr>
          </w:p>
        </w:tc>
      </w:tr>
      <w:tr w:rsidR="00E304EE">
        <w:tc>
          <w:tcPr>
            <w:tcW w:w="2547" w:type="dxa"/>
          </w:tcPr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+B 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C+D</w:t>
            </w:r>
          </w:p>
        </w:tc>
        <w:tc>
          <w:tcPr>
            <w:tcW w:w="7082" w:type="dxa"/>
          </w:tcPr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  <w:lang w:eastAsia="zh-CN"/>
              </w:rPr>
              <w:t>Default method:</w:t>
            </w:r>
          </w:p>
          <w:p w:rsidR="00E304EE" w:rsidRDefault="00017F00">
            <w:p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switching period is </w:t>
            </w:r>
            <w:proofErr w:type="gramStart"/>
            <w:r>
              <w:rPr>
                <w:lang w:eastAsia="zh-CN"/>
              </w:rPr>
              <w:t>max{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bandpair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rPr>
                <w:lang w:eastAsia="zh-CN"/>
              </w:rPr>
              <w:t>}</w:t>
            </w:r>
          </w:p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rFonts w:hint="eastAsia"/>
                <w:b/>
                <w:color w:val="FF0000"/>
                <w:lang w:eastAsia="zh-CN"/>
              </w:rPr>
              <w:t>O</w:t>
            </w:r>
            <w:r>
              <w:rPr>
                <w:b/>
                <w:color w:val="FF0000"/>
                <w:lang w:eastAsia="zh-CN"/>
              </w:rPr>
              <w:t xml:space="preserve">ption UE </w:t>
            </w:r>
            <w:r>
              <w:rPr>
                <w:b/>
                <w:color w:val="FF0000"/>
                <w:lang w:eastAsia="zh-CN"/>
              </w:rPr>
              <w:t>capability [uplinkTxSwitchingPeriod1T1Tto1T1T] per combination of switching-from bands and switching-to bands: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UE to report one value for each combination of switching-from bands and switching-to bands, which applies to both A+B to C+D and C+D to A+B.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Cand</w:t>
            </w:r>
            <w:r>
              <w:rPr>
                <w:lang w:eastAsia="zh-CN"/>
              </w:rPr>
              <w:t>idate values are {35u, 140us, 210us}, no other values to be added</w:t>
            </w:r>
          </w:p>
          <w:p w:rsidR="00E304EE" w:rsidRDefault="00017F00">
            <w:pPr>
              <w:spacing w:after="0" w:line="240" w:lineRule="auto"/>
              <w:rPr>
                <w:b/>
                <w:color w:val="FF0000"/>
                <w:lang w:eastAsia="zh-CN"/>
              </w:rPr>
            </w:pPr>
            <w:r>
              <w:rPr>
                <w:rFonts w:hint="eastAsia"/>
                <w:b/>
                <w:color w:val="FF0000"/>
                <w:lang w:eastAsia="zh-CN"/>
              </w:rPr>
              <w:t>O</w:t>
            </w:r>
            <w:r>
              <w:rPr>
                <w:b/>
                <w:color w:val="FF0000"/>
                <w:lang w:eastAsia="zh-CN"/>
              </w:rPr>
              <w:t xml:space="preserve">ption UE capability </w:t>
            </w:r>
            <w:r>
              <w:rPr>
                <w:rFonts w:hint="eastAsia"/>
                <w:b/>
                <w:color w:val="FF0000"/>
                <w:lang w:val="en-US" w:eastAsia="zh-CN"/>
              </w:rPr>
              <w:t>which cannot be reported simultaneously with the [uplinkTxSwitchingPeriod1T1Tto1T1T]</w:t>
            </w:r>
            <w:r>
              <w:rPr>
                <w:b/>
                <w:color w:val="FF0000"/>
                <w:lang w:eastAsia="zh-CN"/>
              </w:rPr>
              <w:t>:</w:t>
            </w:r>
          </w:p>
          <w:p w:rsidR="00E304EE" w:rsidRDefault="00017F00">
            <w:pPr>
              <w:pStyle w:val="aff5"/>
              <w:numPr>
                <w:ilvl w:val="0"/>
                <w:numId w:val="15"/>
              </w:numPr>
              <w:spacing w:after="0" w:line="24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switching period is</w:t>
            </w:r>
            <w:r>
              <w:rPr>
                <w:lang w:val="en-US" w:eastAsia="zh-CN"/>
              </w:rPr>
              <w:t xml:space="preserve"> </w:t>
            </w:r>
            <w:r>
              <w:rPr>
                <w:bCs/>
              </w:rPr>
              <w:t>min {</w:t>
            </w:r>
            <w:proofErr w:type="gramStart"/>
            <w:r>
              <w:rPr>
                <w:bCs/>
              </w:rPr>
              <w:t>max(</w:t>
            </w:r>
            <w:proofErr w:type="spellStart"/>
            <w:proofErr w:type="gramEnd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switch_A</w:t>
            </w:r>
            <w:proofErr w:type="spellEnd"/>
            <w:r>
              <w:rPr>
                <w:bCs/>
                <w:vertAlign w:val="subscript"/>
              </w:rPr>
              <w:t>-C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switch_B</w:t>
            </w:r>
            <w:proofErr w:type="spellEnd"/>
            <w:r>
              <w:rPr>
                <w:bCs/>
                <w:vertAlign w:val="subscript"/>
              </w:rPr>
              <w:t>-D</w:t>
            </w:r>
            <w:r>
              <w:rPr>
                <w:bCs/>
              </w:rPr>
              <w:t>), max(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switch_A</w:t>
            </w:r>
            <w:proofErr w:type="spellEnd"/>
            <w:r>
              <w:rPr>
                <w:bCs/>
                <w:vertAlign w:val="subscript"/>
              </w:rPr>
              <w:t>-D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switch_B</w:t>
            </w:r>
            <w:proofErr w:type="spellEnd"/>
            <w:r>
              <w:rPr>
                <w:bCs/>
                <w:vertAlign w:val="subscript"/>
              </w:rPr>
              <w:t>-C</w:t>
            </w:r>
            <w:r>
              <w:rPr>
                <w:bCs/>
              </w:rPr>
              <w:t>)}</w:t>
            </w:r>
            <w:r w:rsidR="005D5BBF">
              <w:rPr>
                <w:rFonts w:hint="eastAsia"/>
                <w:bCs/>
                <w:lang w:eastAsia="zh-CN"/>
              </w:rPr>
              <w:t>.</w:t>
            </w:r>
            <w:r w:rsidR="005D5BBF">
              <w:rPr>
                <w:bCs/>
                <w:lang w:eastAsia="zh-CN"/>
              </w:rPr>
              <w:t xml:space="preserve"> </w:t>
            </w:r>
            <w:r w:rsidR="0073313D">
              <w:rPr>
                <w:bCs/>
                <w:lang w:eastAsia="zh-CN"/>
              </w:rPr>
              <w:t>According to the RAN4 LS [2], t</w:t>
            </w:r>
            <w:r w:rsidR="005D5BBF">
              <w:rPr>
                <w:bCs/>
                <w:lang w:eastAsia="zh-CN"/>
              </w:rPr>
              <w:t xml:space="preserve">his is </w:t>
            </w:r>
            <w:r w:rsidR="005D5BBF" w:rsidRPr="005D5BBF">
              <w:rPr>
                <w:bCs/>
                <w:lang w:eastAsia="zh-CN"/>
              </w:rPr>
              <w:t>applied only if the network schedules the UE according to UE's indicated switching order</w:t>
            </w:r>
            <w:r w:rsidR="0073313D">
              <w:rPr>
                <w:bCs/>
                <w:lang w:eastAsia="zh-CN"/>
              </w:rPr>
              <w:t>, o</w:t>
            </w:r>
            <w:r w:rsidR="005D5BBF" w:rsidRPr="005D5BBF">
              <w:rPr>
                <w:bCs/>
                <w:lang w:eastAsia="zh-CN"/>
              </w:rPr>
              <w:t>therwise, default method is used</w:t>
            </w:r>
            <w:r w:rsidR="005D5BBF">
              <w:rPr>
                <w:bCs/>
                <w:lang w:eastAsia="zh-CN"/>
              </w:rPr>
              <w:t>.</w:t>
            </w:r>
            <w:r w:rsidR="0073313D">
              <w:rPr>
                <w:bCs/>
                <w:lang w:eastAsia="zh-CN"/>
              </w:rPr>
              <w:t xml:space="preserve"> Our companion contribution for this RAN4 LS can be found in [3].</w:t>
            </w:r>
          </w:p>
          <w:p w:rsidR="00E304EE" w:rsidRDefault="00E304EE">
            <w:pPr>
              <w:pStyle w:val="aff5"/>
              <w:spacing w:after="0" w:line="240" w:lineRule="auto"/>
              <w:ind w:left="0"/>
              <w:rPr>
                <w:lang w:eastAsia="zh-CN"/>
              </w:rPr>
            </w:pPr>
          </w:p>
        </w:tc>
      </w:tr>
    </w:tbl>
    <w:p w:rsidR="00E304EE" w:rsidRDefault="00017F00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reflect the above changes, the following update is made. Note that two different UE capabilities are involved in the UE behaviours for switching case “A+C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B+C”.</w:t>
      </w:r>
    </w:p>
    <w:p w:rsidR="00E304EE" w:rsidRDefault="00017F00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>
        <w:rPr>
          <w:i/>
          <w:lang w:eastAsia="zh-CN"/>
        </w:rPr>
        <w:t>: Adopt the following TP for Rel-18 UL Tx switching for TS38.214.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4EE">
        <w:tc>
          <w:tcPr>
            <w:tcW w:w="9629" w:type="dxa"/>
          </w:tcPr>
          <w:p w:rsidR="00E304EE" w:rsidRDefault="00017F00">
            <w:pPr>
              <w:spacing w:after="240"/>
              <w:ind w:left="851" w:hanging="284"/>
              <w:rPr>
                <w:iCs/>
                <w:lang w:eastAsia="zh-CN"/>
              </w:rPr>
            </w:pPr>
            <w:bookmarkStart w:id="4" w:name="_Hlk149747559"/>
            <w:r>
              <w:rPr>
                <w:iCs/>
                <w:lang w:eastAsia="zh-CN"/>
              </w:rPr>
              <w:t>-</w:t>
            </w:r>
            <w:r>
              <w:rPr>
                <w:iCs/>
                <w:lang w:eastAsia="zh-CN"/>
              </w:rPr>
              <w:tab/>
              <w:t>When the UE is to transmit a 1-port transmission on one uplink carrier on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and 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band, and if the preceding uplink transmission was a 1-port transmission on a carrier on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and/or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 </w:t>
            </w:r>
            <w:bookmarkStart w:id="5" w:name="_Hlk133418124"/>
            <w:r>
              <w:rPr>
                <w:iCs/>
                <w:lang w:eastAsia="zh-CN"/>
              </w:rPr>
              <w:t>and the UE is under the operatio</w:t>
            </w:r>
            <w:r>
              <w:rPr>
                <w:iCs/>
                <w:lang w:eastAsia="zh-CN"/>
              </w:rPr>
              <w:t>n state in which 1-port transmission can be supported in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and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band, </w:t>
            </w: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 xml:space="preserve">f UE indicates </w:t>
            </w:r>
            <w:proofErr w:type="spellStart"/>
            <w:r>
              <w:rPr>
                <w:i/>
                <w:iCs/>
                <w:strike/>
                <w:color w:val="FF0000"/>
                <w:highlight w:val="yellow"/>
                <w:lang w:eastAsia="zh-CN"/>
              </w:rPr>
              <w:t>UplinkTxSwitchingAdditionalPeriodDualUL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cs="Arial"/>
                <w:i/>
                <w:color w:val="FF0000"/>
                <w:u w:val="single"/>
              </w:rPr>
              <w:t>maintainedUL</w:t>
            </w:r>
            <w:proofErr w:type="spellEnd"/>
            <w:r>
              <w:rPr>
                <w:rFonts w:eastAsiaTheme="minorEastAsia" w:cs="Arial"/>
                <w:i/>
                <w:color w:val="FF0000"/>
                <w:u w:val="single"/>
              </w:rPr>
              <w:t>-Trans</w:t>
            </w:r>
            <w:r>
              <w:rPr>
                <w:rFonts w:eastAsiaTheme="minorEastAsia" w:cs="Arial"/>
                <w:color w:val="FF0000"/>
                <w:u w:val="single"/>
              </w:rPr>
              <w:t xml:space="preserve"> in </w:t>
            </w:r>
            <w:r>
              <w:rPr>
                <w:color w:val="FF0000"/>
                <w:u w:val="single"/>
                <w:lang w:eastAsia="zh-CN"/>
              </w:rPr>
              <w:t xml:space="preserve">the </w:t>
            </w:r>
            <w:r>
              <w:rPr>
                <w:rFonts w:hint="eastAsia"/>
                <w:color w:val="FF0000"/>
                <w:u w:val="single"/>
                <w:lang w:eastAsia="zh-CN"/>
              </w:rPr>
              <w:t>capability</w:t>
            </w:r>
            <w:r>
              <w:rPr>
                <w:rFonts w:hint="eastAsia"/>
                <w:color w:val="FF0000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cs="Arial"/>
                <w:i/>
                <w:color w:val="FF0000"/>
                <w:u w:val="single"/>
                <w:lang w:eastAsia="en-GB"/>
              </w:rPr>
              <w:t>SwitchingPeriodUnaffectedBandDualUL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for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for band pair{the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band,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band} then </w:t>
            </w:r>
            <w:r>
              <w:rPr>
                <w:iCs/>
                <w:lang w:eastAsia="zh-CN"/>
              </w:rPr>
              <w:t>the UE is not expected to transmit for the duration of 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on any of the carriers on 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 and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</w:t>
            </w:r>
            <w:r>
              <w:rPr>
                <w:iCs/>
                <w:lang w:eastAsia="zh-CN"/>
              </w:rPr>
              <w:t xml:space="preserve">, otherwise </w:t>
            </w:r>
            <w:bookmarkEnd w:id="5"/>
            <w:r>
              <w:rPr>
                <w:iCs/>
                <w:lang w:eastAsia="zh-CN"/>
              </w:rPr>
              <w:t xml:space="preserve">then </w:t>
            </w:r>
            <w:r>
              <w:rPr>
                <w:iCs/>
                <w:lang w:eastAsia="zh-CN"/>
              </w:rPr>
              <w:t xml:space="preserve">the UE is not expected to transmit for the duration of </w:t>
            </w:r>
            <w:r>
              <w:rPr>
                <w:i/>
                <w:lang w:eastAsia="zh-CN"/>
              </w:rPr>
              <w:t>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on any of the carriers </w:t>
            </w:r>
            <w:r>
              <w:rPr>
                <w:iCs/>
                <w:lang w:eastAsia="zh-CN"/>
              </w:rPr>
              <w:t>, where</w:t>
            </w:r>
            <w:r>
              <w:rPr>
                <w:iCs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is the switching gap defined in [8, TS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eastAsia="zh-CN"/>
              </w:rPr>
              <w:t>38.101-1].</w:t>
            </w:r>
          </w:p>
        </w:tc>
      </w:tr>
      <w:bookmarkEnd w:id="4"/>
    </w:tbl>
    <w:p w:rsidR="00E304EE" w:rsidRDefault="00E304EE">
      <w:pPr>
        <w:rPr>
          <w:lang w:eastAsia="zh-CN"/>
        </w:rPr>
      </w:pPr>
    </w:p>
    <w:p w:rsidR="00E304EE" w:rsidRDefault="00E304EE">
      <w:pPr>
        <w:rPr>
          <w:lang w:eastAsia="zh-CN"/>
        </w:rPr>
      </w:pPr>
    </w:p>
    <w:p w:rsidR="00E304EE" w:rsidRDefault="00017F00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E304EE" w:rsidRDefault="00017F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 our analysis, proposals and draft TPs for Rel-18 UL Tx switching.</w:t>
      </w:r>
    </w:p>
    <w:p w:rsidR="00E304EE" w:rsidRDefault="00017F00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i/>
          <w:lang w:eastAsia="zh-CN"/>
        </w:rPr>
        <w:t>: Adopt the following TP for Rel-18 UL Tx switching for TS38.214.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4EE">
        <w:tc>
          <w:tcPr>
            <w:tcW w:w="9629" w:type="dxa"/>
          </w:tcPr>
          <w:p w:rsidR="00E304EE" w:rsidRDefault="00017F00">
            <w:pPr>
              <w:spacing w:before="0" w:after="0" w:line="240" w:lineRule="auto"/>
            </w:pPr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proofErr w:type="spellStart"/>
            <w:r>
              <w:rPr>
                <w:i/>
              </w:rPr>
              <w:t>uplinkTxSwitching</w:t>
            </w:r>
            <w:proofErr w:type="spellEnd"/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</w:rPr>
                    <m:t>Tx1-Tx2</m:t>
                  </m: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>
              <w:rPr>
                <w:i/>
                <w:iCs/>
              </w:rPr>
              <w:t>uplinkTxSwitchingPeriod2T2T</w:t>
            </w:r>
            <w:r>
              <w:t xml:space="preserve"> if </w:t>
            </w:r>
            <w:r>
              <w:rPr>
                <w:i/>
                <w:iCs/>
              </w:rPr>
              <w:t>uplinkTxSwitching-2T-Mode</w:t>
            </w:r>
            <w:r>
              <w:t xml:space="preserve"> is configured, and </w:t>
            </w:r>
            <w:proofErr w:type="spellStart"/>
            <w:r>
              <w:rPr>
                <w:i/>
              </w:rPr>
              <w:t>uplinkTxSwitchingPeriod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otherwise in clauses 6.1.6.1, 6.1.6.2.0, 6.1.6.3, and is</w:t>
            </w:r>
            <w:r>
              <w:rPr>
                <w:iCs/>
                <w:color w:val="FF0000"/>
                <w:u w:val="single"/>
              </w:rPr>
              <w:t xml:space="preserve"> defined in [8, TS 38.101-1]</w:t>
            </w:r>
            <w:r>
              <w:rPr>
                <w:rFonts w:hint="eastAsia"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Cs/>
                <w:color w:val="FF0000"/>
                <w:u w:val="single"/>
              </w:rPr>
              <w:t>for</w:t>
            </w:r>
            <w:r>
              <w:rPr>
                <w:rFonts w:hint="eastAsia"/>
                <w:iCs/>
                <w:color w:val="FF0000"/>
                <w:u w:val="single"/>
                <w:lang w:val="en-US" w:eastAsia="zh-CN"/>
              </w:rPr>
              <w:t xml:space="preserve"> </w:t>
            </w:r>
            <w:r>
              <w:rPr>
                <w:iCs/>
                <w:strike/>
                <w:color w:val="FF0000"/>
              </w:rPr>
              <w:t xml:space="preserve">determined with UE capability </w:t>
            </w:r>
            <w:proofErr w:type="spellStart"/>
            <w:r>
              <w:rPr>
                <w:i/>
                <w:strike/>
                <w:color w:val="FF0000"/>
              </w:rPr>
              <w:t>uplinkTxSwitchingPeriodForBandPair</w:t>
            </w:r>
            <w:proofErr w:type="spellEnd"/>
            <w:r>
              <w:rPr>
                <w:iCs/>
                <w:strike/>
                <w:color w:val="FF0000"/>
              </w:rPr>
              <w:t xml:space="preserve"> in</w:t>
            </w:r>
            <w:r>
              <w:rPr>
                <w:iCs/>
                <w:strike/>
                <w:color w:val="FF0000"/>
              </w:rPr>
              <w:t xml:space="preserve"> </w:t>
            </w:r>
            <w:r>
              <w:rPr>
                <w:iCs/>
              </w:rPr>
              <w:t>clause 6.1.6.2.2 for uplink switching with 3 or 4 uplink bands</w:t>
            </w:r>
            <w:r>
              <w:t xml:space="preserve">: </w:t>
            </w:r>
          </w:p>
          <w:p w:rsidR="00E304EE" w:rsidRDefault="00017F00">
            <w:pPr>
              <w:pStyle w:val="B1"/>
              <w:spacing w:before="0" w:after="0" w:line="240" w:lineRule="auto"/>
            </w:pPr>
            <w:r>
              <w:lastRenderedPageBreak/>
              <w:t>-</w:t>
            </w:r>
            <w:r>
              <w:tab/>
              <w:t xml:space="preserve">If a </w:t>
            </w:r>
            <w:r>
              <w:rPr>
                <w:lang w:val="en-AU"/>
              </w:rPr>
              <w:t>UE</w:t>
            </w:r>
            <w:r>
              <w:t xml:space="preserve"> indicated a capability for uplink switching with </w:t>
            </w:r>
            <w:proofErr w:type="spellStart"/>
            <w:r>
              <w:rPr>
                <w:i/>
                <w:iCs/>
              </w:rPr>
              <w:t>BandCombination-UplinkTxSwitch</w:t>
            </w:r>
            <w:proofErr w:type="spellEnd"/>
            <w:r>
              <w:t xml:space="preserve"> for a band combination, and if it is for that band combination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Configured with </w:t>
            </w:r>
            <w:proofErr w:type="gramStart"/>
            <w:r>
              <w:rPr>
                <w:lang w:eastAsia="fr-FR"/>
              </w:rPr>
              <w:t>a</w:t>
            </w:r>
            <w:proofErr w:type="gramEnd"/>
            <w:r>
              <w:rPr>
                <w:lang w:eastAsia="fr-FR"/>
              </w:rPr>
              <w:t xml:space="preserve"> MCG using E-UTRA </w:t>
            </w:r>
            <w:r>
              <w:rPr>
                <w:lang w:eastAsia="fr-FR"/>
              </w:rPr>
              <w:t>radio access and with a SCG using NR radio access (EN-DC)</w:t>
            </w:r>
            <w:r>
              <w:t>, or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>Configured with uplink carrier aggregation, or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Configured in a serving cell with two uplink carriers with </w:t>
            </w:r>
            <w:r>
              <w:rPr>
                <w:lang w:eastAsia="fr-FR"/>
              </w:rPr>
              <w:t xml:space="preserve">higher layer parameter </w:t>
            </w:r>
            <w:proofErr w:type="spellStart"/>
            <w:r>
              <w:rPr>
                <w:i/>
                <w:iCs/>
                <w:lang w:eastAsia="fr-FR"/>
              </w:rPr>
              <w:t>supplementaryUplink</w:t>
            </w:r>
            <w:proofErr w:type="spellEnd"/>
            <w:r>
              <w:t>.</w:t>
            </w:r>
          </w:p>
          <w:p w:rsidR="00E304EE" w:rsidRDefault="00017F00">
            <w:pPr>
              <w:pStyle w:val="B2"/>
              <w:spacing w:before="0" w:after="0" w:line="240" w:lineRule="auto"/>
            </w:pPr>
            <w:r>
              <w:t>The conditions under which the switching</w:t>
            </w:r>
            <w:r>
              <w:t xml:space="preserve"> gap may be present are defined for each of the cases in clauses 6.1.6.1, 6.1.6.2, and 6.1.6.3 respectively.</w:t>
            </w:r>
          </w:p>
        </w:tc>
      </w:tr>
    </w:tbl>
    <w:p w:rsidR="00E304EE" w:rsidRDefault="00E304EE">
      <w:pPr>
        <w:rPr>
          <w:i/>
          <w:iCs/>
          <w:lang w:eastAsia="zh-CN"/>
        </w:rPr>
      </w:pPr>
    </w:p>
    <w:p w:rsidR="00E304EE" w:rsidRDefault="00017F00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>
        <w:rPr>
          <w:i/>
          <w:lang w:eastAsia="zh-CN"/>
        </w:rPr>
        <w:t>: Adopt the following TP for Rel-18 UL Tx switching for TS38.214.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4EE">
        <w:tc>
          <w:tcPr>
            <w:tcW w:w="9629" w:type="dxa"/>
          </w:tcPr>
          <w:p w:rsidR="00E304EE" w:rsidRDefault="00017F00">
            <w:pPr>
              <w:spacing w:after="240"/>
              <w:ind w:left="851" w:hanging="284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-</w:t>
            </w:r>
            <w:r>
              <w:rPr>
                <w:iCs/>
                <w:lang w:eastAsia="zh-CN"/>
              </w:rPr>
              <w:tab/>
              <w:t xml:space="preserve">When the UE is to transmit a 1-port transmission on one uplink </w:t>
            </w:r>
            <w:r>
              <w:rPr>
                <w:iCs/>
                <w:lang w:eastAsia="zh-CN"/>
              </w:rPr>
              <w:t>carrier on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and 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band, and if the preceding uplink transmission was a 1-port transmission on a carrier on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and/or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 and the UE is under the operation state in which 1-port transmission can be supported in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a</w:t>
            </w:r>
            <w:r>
              <w:rPr>
                <w:iCs/>
                <w:lang w:eastAsia="zh-CN"/>
              </w:rPr>
              <w:t>nd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band, </w:t>
            </w: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 xml:space="preserve">f UE indicates </w:t>
            </w:r>
            <w:proofErr w:type="spellStart"/>
            <w:r>
              <w:rPr>
                <w:i/>
                <w:iCs/>
                <w:strike/>
                <w:color w:val="FF0000"/>
                <w:highlight w:val="yellow"/>
                <w:lang w:eastAsia="zh-CN"/>
              </w:rPr>
              <w:t>UplinkTxSwitchingAdditionalPeriodDualUL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cs="Arial"/>
                <w:i/>
                <w:color w:val="FF0000"/>
                <w:u w:val="single"/>
              </w:rPr>
              <w:t>maintainedUL</w:t>
            </w:r>
            <w:proofErr w:type="spellEnd"/>
            <w:r>
              <w:rPr>
                <w:rFonts w:eastAsiaTheme="minorEastAsia" w:cs="Arial"/>
                <w:i/>
                <w:color w:val="FF0000"/>
                <w:u w:val="single"/>
              </w:rPr>
              <w:t>-Trans</w:t>
            </w:r>
            <w:r>
              <w:rPr>
                <w:rFonts w:eastAsiaTheme="minorEastAsia" w:cs="Arial"/>
                <w:color w:val="FF0000"/>
                <w:u w:val="single"/>
              </w:rPr>
              <w:t xml:space="preserve"> in </w:t>
            </w:r>
            <w:r>
              <w:rPr>
                <w:color w:val="FF0000"/>
                <w:u w:val="single"/>
                <w:lang w:eastAsia="zh-CN"/>
              </w:rPr>
              <w:t xml:space="preserve">the </w:t>
            </w:r>
            <w:r>
              <w:rPr>
                <w:rFonts w:hint="eastAsia"/>
                <w:color w:val="FF0000"/>
                <w:u w:val="single"/>
                <w:lang w:eastAsia="zh-CN"/>
              </w:rPr>
              <w:t>capability</w:t>
            </w:r>
            <w:r>
              <w:rPr>
                <w:rFonts w:hint="eastAsia"/>
                <w:color w:val="FF0000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cs="Arial"/>
                <w:i/>
                <w:color w:val="FF0000"/>
                <w:u w:val="single"/>
                <w:lang w:eastAsia="en-GB"/>
              </w:rPr>
              <w:t>SwitchingPeriodUnaffectedBandDualUL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for the 1</w:t>
            </w:r>
            <w:r>
              <w:rPr>
                <w:iCs/>
                <w:vertAlign w:val="superscript"/>
                <w:lang w:eastAsia="zh-CN"/>
              </w:rPr>
              <w:t>st</w:t>
            </w:r>
            <w:r>
              <w:rPr>
                <w:iCs/>
                <w:lang w:eastAsia="zh-CN"/>
              </w:rPr>
              <w:t xml:space="preserve"> band for band pair{the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band,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band} then </w:t>
            </w:r>
            <w:r>
              <w:rPr>
                <w:iCs/>
                <w:lang w:eastAsia="zh-CN"/>
              </w:rPr>
              <w:t>the UE is not expected to transmit for the duratio</w:t>
            </w:r>
            <w:r>
              <w:rPr>
                <w:iCs/>
                <w:lang w:eastAsia="zh-CN"/>
              </w:rPr>
              <w:t>n of 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on any of the carriers on the 2</w:t>
            </w:r>
            <w:r>
              <w:rPr>
                <w:iCs/>
                <w:vertAlign w:val="superscript"/>
                <w:lang w:eastAsia="zh-CN"/>
              </w:rPr>
              <w:t>nd</w:t>
            </w:r>
            <w:r>
              <w:rPr>
                <w:iCs/>
                <w:lang w:eastAsia="zh-CN"/>
              </w:rPr>
              <w:t xml:space="preserve"> band and the 3</w:t>
            </w:r>
            <w:r>
              <w:rPr>
                <w:iCs/>
                <w:vertAlign w:val="superscript"/>
                <w:lang w:eastAsia="zh-CN"/>
              </w:rPr>
              <w:t>rd</w:t>
            </w:r>
            <w:r>
              <w:rPr>
                <w:iCs/>
                <w:lang w:eastAsia="zh-CN"/>
              </w:rPr>
              <w:t xml:space="preserve"> band</w:t>
            </w:r>
            <w:r>
              <w:rPr>
                <w:iCs/>
                <w:lang w:eastAsia="zh-CN"/>
              </w:rPr>
              <w:t xml:space="preserve">, otherwise then </w:t>
            </w:r>
            <w:r>
              <w:rPr>
                <w:iCs/>
                <w:lang w:eastAsia="zh-CN"/>
              </w:rPr>
              <w:t xml:space="preserve">the UE is not expected to transmit for the duration of </w:t>
            </w:r>
            <w:r>
              <w:rPr>
                <w:i/>
                <w:lang w:eastAsia="zh-CN"/>
              </w:rPr>
              <w:t>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on any of the carriers </w:t>
            </w:r>
            <w:r>
              <w:rPr>
                <w:iCs/>
                <w:lang w:eastAsia="zh-CN"/>
              </w:rPr>
              <w:t xml:space="preserve">, where </w:t>
            </w:r>
            <w:r>
              <w:rPr>
                <w:i/>
                <w:lang w:eastAsia="zh-CN"/>
              </w:rPr>
              <w:t>N</w:t>
            </w:r>
            <w:r>
              <w:rPr>
                <w:iCs/>
                <w:vertAlign w:val="subscript"/>
                <w:lang w:eastAsia="zh-CN"/>
              </w:rPr>
              <w:t>Tx1-Tx2</w:t>
            </w:r>
            <w:r>
              <w:rPr>
                <w:iCs/>
                <w:lang w:eastAsia="zh-CN"/>
              </w:rPr>
              <w:t xml:space="preserve"> is the switching gap defined in [8, TS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eastAsia="zh-CN"/>
              </w:rPr>
              <w:t>38.101-1].</w:t>
            </w:r>
          </w:p>
        </w:tc>
      </w:tr>
    </w:tbl>
    <w:p w:rsidR="00E304EE" w:rsidRDefault="00E304EE">
      <w:pPr>
        <w:rPr>
          <w:lang w:eastAsia="zh-CN"/>
        </w:rPr>
      </w:pPr>
    </w:p>
    <w:p w:rsidR="00E304EE" w:rsidRDefault="00E304EE">
      <w:pPr>
        <w:rPr>
          <w:i/>
          <w:iCs/>
          <w:lang w:eastAsia="zh-CN"/>
        </w:rPr>
      </w:pPr>
    </w:p>
    <w:p w:rsidR="00E304EE" w:rsidRDefault="00017F00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E304EE" w:rsidRDefault="00017F00">
      <w:pPr>
        <w:pStyle w:val="aff5"/>
        <w:numPr>
          <w:ilvl w:val="0"/>
          <w:numId w:val="16"/>
        </w:numPr>
        <w:snapToGrid/>
        <w:spacing w:line="259" w:lineRule="auto"/>
      </w:pPr>
      <w:r>
        <w:t>R1-2310769, Introduction of UL Tx switching across up to 4 bands, Nokia, RAN1#114bis.</w:t>
      </w:r>
    </w:p>
    <w:p w:rsidR="005D5BBF" w:rsidRDefault="005D5BBF" w:rsidP="005D5BBF">
      <w:pPr>
        <w:pStyle w:val="aff5"/>
        <w:numPr>
          <w:ilvl w:val="0"/>
          <w:numId w:val="16"/>
        </w:numPr>
      </w:pPr>
      <w:r w:rsidRPr="005D5BBF">
        <w:t>R4-2317609, LS on Rel-18 UL Tx switching for parallel switching on four bands, 3GPP TSG RAN WG4 Meeting #108-bis</w:t>
      </w:r>
    </w:p>
    <w:p w:rsidR="0073313D" w:rsidRDefault="0073313D" w:rsidP="005D5BBF">
      <w:pPr>
        <w:pStyle w:val="aff5"/>
        <w:numPr>
          <w:ilvl w:val="0"/>
          <w:numId w:val="16"/>
        </w:numPr>
      </w:pPr>
      <w:r w:rsidRPr="0073313D">
        <w:t>R1-2311777</w:t>
      </w:r>
      <w:r>
        <w:t xml:space="preserve">, </w:t>
      </w:r>
      <w:r w:rsidRPr="0073313D">
        <w:t>Discussion on Rel-18 UL Tx switching for parallel switching on four bands</w:t>
      </w:r>
      <w:r>
        <w:t>, ZTE, RAN1#115</w:t>
      </w:r>
      <w:bookmarkStart w:id="6" w:name="_GoBack"/>
      <w:bookmarkEnd w:id="6"/>
    </w:p>
    <w:sectPr w:rsidR="0073313D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F00" w:rsidRDefault="00017F00">
      <w:pPr>
        <w:spacing w:after="0"/>
      </w:pPr>
      <w:r>
        <w:separator/>
      </w:r>
    </w:p>
  </w:endnote>
  <w:endnote w:type="continuationSeparator" w:id="0">
    <w:p w:rsidR="00017F00" w:rsidRDefault="00017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E304EE" w:rsidRDefault="00017F00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E304EE" w:rsidRDefault="00E304E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F00" w:rsidRDefault="00017F00">
      <w:pPr>
        <w:spacing w:after="0"/>
      </w:pPr>
      <w:r>
        <w:separator/>
      </w:r>
    </w:p>
  </w:footnote>
  <w:footnote w:type="continuationSeparator" w:id="0">
    <w:p w:rsidR="00017F00" w:rsidRDefault="00017F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BE63D7"/>
    <w:multiLevelType w:val="multilevel"/>
    <w:tmpl w:val="44BE63D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15"/>
  </w:num>
  <w:num w:numId="9">
    <w:abstractNumId w:val="11"/>
  </w:num>
  <w:num w:numId="10">
    <w:abstractNumId w:val="6"/>
  </w:num>
  <w:num w:numId="11">
    <w:abstractNumId w:val="14"/>
  </w:num>
  <w:num w:numId="12">
    <w:abstractNumId w:val="13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7E8"/>
    <w:rsid w:val="00005174"/>
    <w:rsid w:val="00007D4F"/>
    <w:rsid w:val="000113EB"/>
    <w:rsid w:val="00012D31"/>
    <w:rsid w:val="00016FF7"/>
    <w:rsid w:val="00017517"/>
    <w:rsid w:val="00017F00"/>
    <w:rsid w:val="00017FEB"/>
    <w:rsid w:val="000210CE"/>
    <w:rsid w:val="0002618D"/>
    <w:rsid w:val="00026559"/>
    <w:rsid w:val="000371AB"/>
    <w:rsid w:val="000439AD"/>
    <w:rsid w:val="00046A52"/>
    <w:rsid w:val="0005544A"/>
    <w:rsid w:val="00062D93"/>
    <w:rsid w:val="00062ED6"/>
    <w:rsid w:val="00064B4D"/>
    <w:rsid w:val="00073369"/>
    <w:rsid w:val="000819E8"/>
    <w:rsid w:val="0009475B"/>
    <w:rsid w:val="000A246A"/>
    <w:rsid w:val="000A26BD"/>
    <w:rsid w:val="000A548C"/>
    <w:rsid w:val="000A5F9B"/>
    <w:rsid w:val="000B34E6"/>
    <w:rsid w:val="000B40E1"/>
    <w:rsid w:val="000B4B44"/>
    <w:rsid w:val="000B53F3"/>
    <w:rsid w:val="000B5DF3"/>
    <w:rsid w:val="000C2CE0"/>
    <w:rsid w:val="000C30D5"/>
    <w:rsid w:val="000D60BA"/>
    <w:rsid w:val="000E037D"/>
    <w:rsid w:val="000E182A"/>
    <w:rsid w:val="000E4339"/>
    <w:rsid w:val="000F0AA6"/>
    <w:rsid w:val="000F3BE8"/>
    <w:rsid w:val="000F7073"/>
    <w:rsid w:val="0011353B"/>
    <w:rsid w:val="00130F91"/>
    <w:rsid w:val="00134159"/>
    <w:rsid w:val="00162D5A"/>
    <w:rsid w:val="0016612A"/>
    <w:rsid w:val="001759C8"/>
    <w:rsid w:val="001801A4"/>
    <w:rsid w:val="00180CC7"/>
    <w:rsid w:val="00190ED9"/>
    <w:rsid w:val="001A4C3D"/>
    <w:rsid w:val="001A5D72"/>
    <w:rsid w:val="001A7BAA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20058A"/>
    <w:rsid w:val="0020269C"/>
    <w:rsid w:val="00203AFE"/>
    <w:rsid w:val="00204EDB"/>
    <w:rsid w:val="0023752D"/>
    <w:rsid w:val="00260CCF"/>
    <w:rsid w:val="00262895"/>
    <w:rsid w:val="00262A07"/>
    <w:rsid w:val="00271D66"/>
    <w:rsid w:val="00273687"/>
    <w:rsid w:val="00273FA7"/>
    <w:rsid w:val="002904DA"/>
    <w:rsid w:val="00297AE0"/>
    <w:rsid w:val="002B21B5"/>
    <w:rsid w:val="002C6359"/>
    <w:rsid w:val="002C6790"/>
    <w:rsid w:val="002D0B7E"/>
    <w:rsid w:val="002D3BF5"/>
    <w:rsid w:val="002D6A9A"/>
    <w:rsid w:val="002E2621"/>
    <w:rsid w:val="002E2BA6"/>
    <w:rsid w:val="002E6359"/>
    <w:rsid w:val="00306856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EA5"/>
    <w:rsid w:val="003574C8"/>
    <w:rsid w:val="00362E86"/>
    <w:rsid w:val="0036346E"/>
    <w:rsid w:val="00365EAE"/>
    <w:rsid w:val="00385E67"/>
    <w:rsid w:val="00386872"/>
    <w:rsid w:val="00391338"/>
    <w:rsid w:val="00392D96"/>
    <w:rsid w:val="003977D7"/>
    <w:rsid w:val="003A08FA"/>
    <w:rsid w:val="003A26B6"/>
    <w:rsid w:val="003A4F2B"/>
    <w:rsid w:val="003B2457"/>
    <w:rsid w:val="003B61DC"/>
    <w:rsid w:val="003B7A22"/>
    <w:rsid w:val="003C1041"/>
    <w:rsid w:val="003C1273"/>
    <w:rsid w:val="003C14ED"/>
    <w:rsid w:val="003C60DE"/>
    <w:rsid w:val="003D23A1"/>
    <w:rsid w:val="003D3B04"/>
    <w:rsid w:val="003D4E84"/>
    <w:rsid w:val="003D7710"/>
    <w:rsid w:val="003E36E5"/>
    <w:rsid w:val="00407FD6"/>
    <w:rsid w:val="00412A46"/>
    <w:rsid w:val="00415695"/>
    <w:rsid w:val="00441ECB"/>
    <w:rsid w:val="00443818"/>
    <w:rsid w:val="0045088E"/>
    <w:rsid w:val="00456E3D"/>
    <w:rsid w:val="00457586"/>
    <w:rsid w:val="004607C3"/>
    <w:rsid w:val="00472871"/>
    <w:rsid w:val="00487603"/>
    <w:rsid w:val="00487EC1"/>
    <w:rsid w:val="0049502F"/>
    <w:rsid w:val="004A29A5"/>
    <w:rsid w:val="004A6461"/>
    <w:rsid w:val="004A7E15"/>
    <w:rsid w:val="004B0D86"/>
    <w:rsid w:val="004B156E"/>
    <w:rsid w:val="004B16DE"/>
    <w:rsid w:val="004B287E"/>
    <w:rsid w:val="004B418A"/>
    <w:rsid w:val="004C3D24"/>
    <w:rsid w:val="004D46CB"/>
    <w:rsid w:val="004D5B37"/>
    <w:rsid w:val="004E0805"/>
    <w:rsid w:val="004E0EE6"/>
    <w:rsid w:val="004E259B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5371"/>
    <w:rsid w:val="0054077D"/>
    <w:rsid w:val="0054192F"/>
    <w:rsid w:val="00543BC5"/>
    <w:rsid w:val="005446B1"/>
    <w:rsid w:val="00546597"/>
    <w:rsid w:val="00546EE3"/>
    <w:rsid w:val="005544A6"/>
    <w:rsid w:val="00564D3B"/>
    <w:rsid w:val="00571A5E"/>
    <w:rsid w:val="005808D7"/>
    <w:rsid w:val="005926FA"/>
    <w:rsid w:val="00594814"/>
    <w:rsid w:val="00596F75"/>
    <w:rsid w:val="00597711"/>
    <w:rsid w:val="0059798D"/>
    <w:rsid w:val="005A4085"/>
    <w:rsid w:val="005A5996"/>
    <w:rsid w:val="005A76F3"/>
    <w:rsid w:val="005B1259"/>
    <w:rsid w:val="005B1D6F"/>
    <w:rsid w:val="005B7977"/>
    <w:rsid w:val="005C65A1"/>
    <w:rsid w:val="005C7375"/>
    <w:rsid w:val="005D20F1"/>
    <w:rsid w:val="005D45F8"/>
    <w:rsid w:val="005D5BBF"/>
    <w:rsid w:val="005D6562"/>
    <w:rsid w:val="005D683C"/>
    <w:rsid w:val="005D6FF6"/>
    <w:rsid w:val="005E2153"/>
    <w:rsid w:val="005F0F8A"/>
    <w:rsid w:val="005F4AE5"/>
    <w:rsid w:val="006000D8"/>
    <w:rsid w:val="006017DD"/>
    <w:rsid w:val="006035C5"/>
    <w:rsid w:val="006041B9"/>
    <w:rsid w:val="00607ED1"/>
    <w:rsid w:val="00614000"/>
    <w:rsid w:val="0062396B"/>
    <w:rsid w:val="0063186E"/>
    <w:rsid w:val="00634DD9"/>
    <w:rsid w:val="00635EFA"/>
    <w:rsid w:val="00645EDB"/>
    <w:rsid w:val="0065039A"/>
    <w:rsid w:val="006518B3"/>
    <w:rsid w:val="00651E5D"/>
    <w:rsid w:val="00655FD8"/>
    <w:rsid w:val="00660E4E"/>
    <w:rsid w:val="006629C2"/>
    <w:rsid w:val="00666523"/>
    <w:rsid w:val="00670B87"/>
    <w:rsid w:val="00677D9D"/>
    <w:rsid w:val="00681AF7"/>
    <w:rsid w:val="006821AF"/>
    <w:rsid w:val="00686122"/>
    <w:rsid w:val="00690330"/>
    <w:rsid w:val="00693457"/>
    <w:rsid w:val="006A05F1"/>
    <w:rsid w:val="006A2DD1"/>
    <w:rsid w:val="006B1A53"/>
    <w:rsid w:val="006C2BCB"/>
    <w:rsid w:val="006C3767"/>
    <w:rsid w:val="006D1034"/>
    <w:rsid w:val="006D665B"/>
    <w:rsid w:val="006D6ECC"/>
    <w:rsid w:val="006D6F87"/>
    <w:rsid w:val="006E00D0"/>
    <w:rsid w:val="006E411F"/>
    <w:rsid w:val="006E4B5C"/>
    <w:rsid w:val="006E74B6"/>
    <w:rsid w:val="006F482C"/>
    <w:rsid w:val="006F5C5F"/>
    <w:rsid w:val="006F5CA1"/>
    <w:rsid w:val="007126A4"/>
    <w:rsid w:val="00714A51"/>
    <w:rsid w:val="00720B4B"/>
    <w:rsid w:val="00720D01"/>
    <w:rsid w:val="00727079"/>
    <w:rsid w:val="00731233"/>
    <w:rsid w:val="0073313D"/>
    <w:rsid w:val="00737633"/>
    <w:rsid w:val="00750168"/>
    <w:rsid w:val="00753EA3"/>
    <w:rsid w:val="00754418"/>
    <w:rsid w:val="007676F4"/>
    <w:rsid w:val="00767C64"/>
    <w:rsid w:val="00767EDA"/>
    <w:rsid w:val="00773C01"/>
    <w:rsid w:val="00783AE0"/>
    <w:rsid w:val="00786334"/>
    <w:rsid w:val="0078742D"/>
    <w:rsid w:val="007967DD"/>
    <w:rsid w:val="007A55B2"/>
    <w:rsid w:val="007A5A1B"/>
    <w:rsid w:val="007A62B9"/>
    <w:rsid w:val="007A6A20"/>
    <w:rsid w:val="007B28AD"/>
    <w:rsid w:val="007E58A4"/>
    <w:rsid w:val="007F3B51"/>
    <w:rsid w:val="007F7BAB"/>
    <w:rsid w:val="00803465"/>
    <w:rsid w:val="008062A6"/>
    <w:rsid w:val="00806409"/>
    <w:rsid w:val="00813EDB"/>
    <w:rsid w:val="00820D6F"/>
    <w:rsid w:val="00821A5A"/>
    <w:rsid w:val="008263B5"/>
    <w:rsid w:val="00827D1A"/>
    <w:rsid w:val="0083255E"/>
    <w:rsid w:val="00837EAA"/>
    <w:rsid w:val="00844096"/>
    <w:rsid w:val="00852B6C"/>
    <w:rsid w:val="00861D70"/>
    <w:rsid w:val="00862C80"/>
    <w:rsid w:val="008739AB"/>
    <w:rsid w:val="0089761C"/>
    <w:rsid w:val="008A0BD7"/>
    <w:rsid w:val="008A5B38"/>
    <w:rsid w:val="008A716E"/>
    <w:rsid w:val="008B07F3"/>
    <w:rsid w:val="008B1B61"/>
    <w:rsid w:val="008B43CE"/>
    <w:rsid w:val="008B4600"/>
    <w:rsid w:val="008C7991"/>
    <w:rsid w:val="008C7EAD"/>
    <w:rsid w:val="008E25C2"/>
    <w:rsid w:val="00900286"/>
    <w:rsid w:val="009102DE"/>
    <w:rsid w:val="00910C20"/>
    <w:rsid w:val="00917BF5"/>
    <w:rsid w:val="00927596"/>
    <w:rsid w:val="00947924"/>
    <w:rsid w:val="009502C4"/>
    <w:rsid w:val="00952A24"/>
    <w:rsid w:val="009579AD"/>
    <w:rsid w:val="009729B3"/>
    <w:rsid w:val="0098598C"/>
    <w:rsid w:val="0099304E"/>
    <w:rsid w:val="009940C2"/>
    <w:rsid w:val="00994A55"/>
    <w:rsid w:val="009951A9"/>
    <w:rsid w:val="009A32C1"/>
    <w:rsid w:val="009A524F"/>
    <w:rsid w:val="009A604A"/>
    <w:rsid w:val="009A6235"/>
    <w:rsid w:val="009A6A02"/>
    <w:rsid w:val="009C02A1"/>
    <w:rsid w:val="009C40FC"/>
    <w:rsid w:val="009D062C"/>
    <w:rsid w:val="009F1CBC"/>
    <w:rsid w:val="00A0555A"/>
    <w:rsid w:val="00A05600"/>
    <w:rsid w:val="00A1088F"/>
    <w:rsid w:val="00A136F9"/>
    <w:rsid w:val="00A23AC4"/>
    <w:rsid w:val="00A24473"/>
    <w:rsid w:val="00A2589D"/>
    <w:rsid w:val="00A26796"/>
    <w:rsid w:val="00A27906"/>
    <w:rsid w:val="00A361F7"/>
    <w:rsid w:val="00A43D93"/>
    <w:rsid w:val="00A5303A"/>
    <w:rsid w:val="00A53DFE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5D27"/>
    <w:rsid w:val="00AB67E0"/>
    <w:rsid w:val="00AC0603"/>
    <w:rsid w:val="00AC0E89"/>
    <w:rsid w:val="00AC3166"/>
    <w:rsid w:val="00AD778E"/>
    <w:rsid w:val="00AE17DC"/>
    <w:rsid w:val="00AF0473"/>
    <w:rsid w:val="00AF6ED7"/>
    <w:rsid w:val="00B010E7"/>
    <w:rsid w:val="00B05375"/>
    <w:rsid w:val="00B104CD"/>
    <w:rsid w:val="00B10DD0"/>
    <w:rsid w:val="00B15576"/>
    <w:rsid w:val="00B26366"/>
    <w:rsid w:val="00B27ABA"/>
    <w:rsid w:val="00B30389"/>
    <w:rsid w:val="00B309B0"/>
    <w:rsid w:val="00B4222D"/>
    <w:rsid w:val="00B50E7B"/>
    <w:rsid w:val="00B563FF"/>
    <w:rsid w:val="00B612E7"/>
    <w:rsid w:val="00B65174"/>
    <w:rsid w:val="00B70246"/>
    <w:rsid w:val="00B71D78"/>
    <w:rsid w:val="00B75CBF"/>
    <w:rsid w:val="00B764EB"/>
    <w:rsid w:val="00B81667"/>
    <w:rsid w:val="00B84C9B"/>
    <w:rsid w:val="00B94D78"/>
    <w:rsid w:val="00B966F0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2263"/>
    <w:rsid w:val="00BD2C80"/>
    <w:rsid w:val="00BD5452"/>
    <w:rsid w:val="00C0103B"/>
    <w:rsid w:val="00C12E7E"/>
    <w:rsid w:val="00C13FF4"/>
    <w:rsid w:val="00C200DE"/>
    <w:rsid w:val="00C24D67"/>
    <w:rsid w:val="00C2728C"/>
    <w:rsid w:val="00C32781"/>
    <w:rsid w:val="00C46F3C"/>
    <w:rsid w:val="00C475BB"/>
    <w:rsid w:val="00C5252F"/>
    <w:rsid w:val="00C55EC1"/>
    <w:rsid w:val="00C56823"/>
    <w:rsid w:val="00C620F2"/>
    <w:rsid w:val="00C638EC"/>
    <w:rsid w:val="00C66306"/>
    <w:rsid w:val="00C70039"/>
    <w:rsid w:val="00C70083"/>
    <w:rsid w:val="00C80798"/>
    <w:rsid w:val="00C91E19"/>
    <w:rsid w:val="00C93DA2"/>
    <w:rsid w:val="00C96BDD"/>
    <w:rsid w:val="00CA2B9D"/>
    <w:rsid w:val="00CB02EF"/>
    <w:rsid w:val="00CC1438"/>
    <w:rsid w:val="00CC527E"/>
    <w:rsid w:val="00CC5A7A"/>
    <w:rsid w:val="00CC697A"/>
    <w:rsid w:val="00CD05DC"/>
    <w:rsid w:val="00CD585B"/>
    <w:rsid w:val="00CF03B6"/>
    <w:rsid w:val="00CF7565"/>
    <w:rsid w:val="00D010A6"/>
    <w:rsid w:val="00D04B9E"/>
    <w:rsid w:val="00D0767C"/>
    <w:rsid w:val="00D11338"/>
    <w:rsid w:val="00D22ED3"/>
    <w:rsid w:val="00D22F0E"/>
    <w:rsid w:val="00D26D21"/>
    <w:rsid w:val="00D3285A"/>
    <w:rsid w:val="00D33930"/>
    <w:rsid w:val="00D33CEA"/>
    <w:rsid w:val="00D40DCE"/>
    <w:rsid w:val="00D5513D"/>
    <w:rsid w:val="00D6014C"/>
    <w:rsid w:val="00D6039B"/>
    <w:rsid w:val="00D63560"/>
    <w:rsid w:val="00D667A3"/>
    <w:rsid w:val="00D679B1"/>
    <w:rsid w:val="00D72C3B"/>
    <w:rsid w:val="00D74072"/>
    <w:rsid w:val="00D763A6"/>
    <w:rsid w:val="00D93A30"/>
    <w:rsid w:val="00D93AD3"/>
    <w:rsid w:val="00DA4B38"/>
    <w:rsid w:val="00DA6869"/>
    <w:rsid w:val="00DB5BB2"/>
    <w:rsid w:val="00DC0155"/>
    <w:rsid w:val="00DD0409"/>
    <w:rsid w:val="00DD0D76"/>
    <w:rsid w:val="00DD37A1"/>
    <w:rsid w:val="00DD5AF7"/>
    <w:rsid w:val="00DD7712"/>
    <w:rsid w:val="00DF5800"/>
    <w:rsid w:val="00E03A56"/>
    <w:rsid w:val="00E06C16"/>
    <w:rsid w:val="00E133C3"/>
    <w:rsid w:val="00E21233"/>
    <w:rsid w:val="00E26975"/>
    <w:rsid w:val="00E304EE"/>
    <w:rsid w:val="00E42731"/>
    <w:rsid w:val="00E44A17"/>
    <w:rsid w:val="00E47742"/>
    <w:rsid w:val="00E50E1E"/>
    <w:rsid w:val="00E52901"/>
    <w:rsid w:val="00E5373A"/>
    <w:rsid w:val="00E554B3"/>
    <w:rsid w:val="00E60DEC"/>
    <w:rsid w:val="00E62037"/>
    <w:rsid w:val="00E6323F"/>
    <w:rsid w:val="00E7326A"/>
    <w:rsid w:val="00E82EEF"/>
    <w:rsid w:val="00E834BF"/>
    <w:rsid w:val="00E83776"/>
    <w:rsid w:val="00E86CD6"/>
    <w:rsid w:val="00E927CC"/>
    <w:rsid w:val="00E92CBA"/>
    <w:rsid w:val="00EA0F6D"/>
    <w:rsid w:val="00ED3D9C"/>
    <w:rsid w:val="00ED5664"/>
    <w:rsid w:val="00ED61F5"/>
    <w:rsid w:val="00EF4FBC"/>
    <w:rsid w:val="00EF6326"/>
    <w:rsid w:val="00F0724C"/>
    <w:rsid w:val="00F11907"/>
    <w:rsid w:val="00F13F03"/>
    <w:rsid w:val="00F143FF"/>
    <w:rsid w:val="00F17B4E"/>
    <w:rsid w:val="00F17F2A"/>
    <w:rsid w:val="00F20378"/>
    <w:rsid w:val="00F20615"/>
    <w:rsid w:val="00F2238C"/>
    <w:rsid w:val="00F22526"/>
    <w:rsid w:val="00F26986"/>
    <w:rsid w:val="00F3139D"/>
    <w:rsid w:val="00F36762"/>
    <w:rsid w:val="00F37C8D"/>
    <w:rsid w:val="00F45EED"/>
    <w:rsid w:val="00F467CE"/>
    <w:rsid w:val="00F50616"/>
    <w:rsid w:val="00F508D1"/>
    <w:rsid w:val="00F56022"/>
    <w:rsid w:val="00F60DD8"/>
    <w:rsid w:val="00F6288A"/>
    <w:rsid w:val="00F62AF3"/>
    <w:rsid w:val="00F63F33"/>
    <w:rsid w:val="00F66FB3"/>
    <w:rsid w:val="00F83487"/>
    <w:rsid w:val="00F85218"/>
    <w:rsid w:val="00FA05F8"/>
    <w:rsid w:val="00FA2162"/>
    <w:rsid w:val="00FA2AC6"/>
    <w:rsid w:val="00FA4D33"/>
    <w:rsid w:val="00FB0B3F"/>
    <w:rsid w:val="00FB2D5D"/>
    <w:rsid w:val="00FC0ACA"/>
    <w:rsid w:val="00FC2F49"/>
    <w:rsid w:val="00FD3E27"/>
    <w:rsid w:val="00FD6B32"/>
    <w:rsid w:val="00FE2F9B"/>
    <w:rsid w:val="02985E84"/>
    <w:rsid w:val="02E66234"/>
    <w:rsid w:val="03001180"/>
    <w:rsid w:val="04493554"/>
    <w:rsid w:val="08A9268A"/>
    <w:rsid w:val="08E7028C"/>
    <w:rsid w:val="091C036A"/>
    <w:rsid w:val="0A246F86"/>
    <w:rsid w:val="0AB950F5"/>
    <w:rsid w:val="0C2F2472"/>
    <w:rsid w:val="0E8547F7"/>
    <w:rsid w:val="0EF72528"/>
    <w:rsid w:val="0F791E68"/>
    <w:rsid w:val="10665F0D"/>
    <w:rsid w:val="14177C31"/>
    <w:rsid w:val="158B0E1E"/>
    <w:rsid w:val="1AD04E0B"/>
    <w:rsid w:val="1D016AA2"/>
    <w:rsid w:val="1D6A21EA"/>
    <w:rsid w:val="1E455A39"/>
    <w:rsid w:val="1E67561A"/>
    <w:rsid w:val="22D62488"/>
    <w:rsid w:val="2C967935"/>
    <w:rsid w:val="2CE91D3E"/>
    <w:rsid w:val="2F630B23"/>
    <w:rsid w:val="2FD14AB4"/>
    <w:rsid w:val="305A6DDB"/>
    <w:rsid w:val="30F526BD"/>
    <w:rsid w:val="33B002FA"/>
    <w:rsid w:val="346212CD"/>
    <w:rsid w:val="34880F47"/>
    <w:rsid w:val="35B504B1"/>
    <w:rsid w:val="39E43B1E"/>
    <w:rsid w:val="39E75F08"/>
    <w:rsid w:val="3C947EE9"/>
    <w:rsid w:val="3FB63057"/>
    <w:rsid w:val="40976EB6"/>
    <w:rsid w:val="41C717DC"/>
    <w:rsid w:val="45A27568"/>
    <w:rsid w:val="498421A4"/>
    <w:rsid w:val="4A8D725A"/>
    <w:rsid w:val="4AEF1BDD"/>
    <w:rsid w:val="4BF8002B"/>
    <w:rsid w:val="4C45016A"/>
    <w:rsid w:val="4D753914"/>
    <w:rsid w:val="4F1A12CB"/>
    <w:rsid w:val="4F526FF8"/>
    <w:rsid w:val="4FD7228A"/>
    <w:rsid w:val="54006B9A"/>
    <w:rsid w:val="57E7344B"/>
    <w:rsid w:val="58A54222"/>
    <w:rsid w:val="598A2B17"/>
    <w:rsid w:val="5B964698"/>
    <w:rsid w:val="5BEC5D6B"/>
    <w:rsid w:val="60D4364F"/>
    <w:rsid w:val="622439D2"/>
    <w:rsid w:val="62E443F4"/>
    <w:rsid w:val="64634B20"/>
    <w:rsid w:val="64F05CD2"/>
    <w:rsid w:val="651C6375"/>
    <w:rsid w:val="67E570A3"/>
    <w:rsid w:val="680B6FEF"/>
    <w:rsid w:val="683C658E"/>
    <w:rsid w:val="6A5D5D4D"/>
    <w:rsid w:val="6E5B666B"/>
    <w:rsid w:val="6F1F1B00"/>
    <w:rsid w:val="7034536C"/>
    <w:rsid w:val="72425788"/>
    <w:rsid w:val="77154DC6"/>
    <w:rsid w:val="779C50F7"/>
    <w:rsid w:val="77FD1539"/>
    <w:rsid w:val="7C4D3E8A"/>
    <w:rsid w:val="7D293998"/>
    <w:rsid w:val="7D8A3B5D"/>
    <w:rsid w:val="7F74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5AA4D2"/>
  <w15:docId w15:val="{CAA43C5F-A39D-4330-9E58-8E7A01E6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uiPriority w:val="9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uiPriority w:val="9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uiPriority w:val="99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val="en-US" w:eastAsia="zh-CN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EDA2-2A5E-416E-860F-A4E2F6B6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1214</Words>
  <Characters>6922</Characters>
  <Application>Microsoft Office Word</Application>
  <DocSecurity>0</DocSecurity>
  <Lines>57</Lines>
  <Paragraphs>16</Paragraphs>
  <ScaleCrop>false</ScaleCrop>
  <Company>ZTE Corporation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16</cp:revision>
  <cp:lastPrinted>2002-04-23T01:10:00Z</cp:lastPrinted>
  <dcterms:created xsi:type="dcterms:W3CDTF">2023-05-15T03:12:00Z</dcterms:created>
  <dcterms:modified xsi:type="dcterms:W3CDTF">2023-11-03T07:14:00Z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13E79B90ED6B4236B113B0A2D2688383</vt:lpwstr>
  </property>
</Properties>
</file>